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39FD" w14:textId="77777777" w:rsidR="001E4E09" w:rsidRDefault="00516BE1" w:rsidP="00516BE1">
      <w:pPr>
        <w:jc w:val="right"/>
      </w:pPr>
      <w:r>
        <w:t xml:space="preserve">Wetzlar, den </w:t>
      </w:r>
      <w:r>
        <w:fldChar w:fldCharType="begin"/>
      </w:r>
      <w:r>
        <w:instrText xml:space="preserve"> CREATEDATE  \@ "d. MMMM yyyy"  \* MERGEFORMAT </w:instrText>
      </w:r>
      <w:r>
        <w:fldChar w:fldCharType="separate"/>
      </w:r>
      <w:r w:rsidR="00C10F7A">
        <w:rPr>
          <w:noProof/>
        </w:rPr>
        <w:t>8. März 2022</w:t>
      </w:r>
      <w:r>
        <w:fldChar w:fldCharType="end"/>
      </w:r>
    </w:p>
    <w:p w14:paraId="2BC6A5A2" w14:textId="291B6B15" w:rsidR="00516BE1" w:rsidRDefault="00C10F7A" w:rsidP="00516BE1">
      <w:pPr>
        <w:pStyle w:val="berschrift1"/>
      </w:pPr>
      <w:r>
        <w:t xml:space="preserve">Die Finanzierungslücken der Krankenhäuser nehmen dramatisch zu </w:t>
      </w:r>
    </w:p>
    <w:p w14:paraId="1BE7DD6C" w14:textId="747C44ED" w:rsidR="00C10F7A" w:rsidRDefault="00592DF1" w:rsidP="00C10F7A">
      <w:pPr>
        <w:pStyle w:val="berschrift2"/>
      </w:pPr>
      <w:r>
        <w:t xml:space="preserve">Klinikverbund Hessen fordert ausreichende Finanzierung </w:t>
      </w:r>
      <w:r w:rsidR="00C65F4E">
        <w:t xml:space="preserve">von Investitionen, Pflegekosten und </w:t>
      </w:r>
      <w:r>
        <w:t>den extrem steigenden Preisen für die Krankenhäuser</w:t>
      </w:r>
    </w:p>
    <w:p w14:paraId="5E6D281D" w14:textId="0885E43E" w:rsidR="00592DF1" w:rsidRDefault="00DD64DC" w:rsidP="00592DF1">
      <w:r>
        <w:t>"</w:t>
      </w:r>
      <w:r>
        <w:rPr>
          <w:i/>
        </w:rPr>
        <w:t xml:space="preserve">Die Krankenhäuser in Hessen müssen über 35% der Investitionskosten aus eigenen Mitteln finanzieren – </w:t>
      </w:r>
      <w:r w:rsidR="000B081D">
        <w:rPr>
          <w:i/>
        </w:rPr>
        <w:t>wegen</w:t>
      </w:r>
      <w:r>
        <w:rPr>
          <w:i/>
        </w:rPr>
        <w:t xml:space="preserve"> </w:t>
      </w:r>
      <w:r w:rsidR="00257BAC">
        <w:rPr>
          <w:i/>
        </w:rPr>
        <w:t>steigend</w:t>
      </w:r>
      <w:r w:rsidR="00090B11">
        <w:rPr>
          <w:i/>
        </w:rPr>
        <w:t>e</w:t>
      </w:r>
      <w:r w:rsidR="000B081D">
        <w:rPr>
          <w:i/>
        </w:rPr>
        <w:t>r</w:t>
      </w:r>
      <w:r w:rsidR="00257BAC">
        <w:rPr>
          <w:i/>
        </w:rPr>
        <w:t xml:space="preserve"> </w:t>
      </w:r>
      <w:r>
        <w:rPr>
          <w:i/>
        </w:rPr>
        <w:t>Baukosten sogar bis zu 50</w:t>
      </w:r>
      <w:r w:rsidRPr="00DD64DC">
        <w:rPr>
          <w:i/>
        </w:rPr>
        <w:t>%</w:t>
      </w:r>
      <w:r w:rsidR="003F73EA">
        <w:rPr>
          <w:i/>
        </w:rPr>
        <w:t>. D</w:t>
      </w:r>
      <w:r w:rsidRPr="00DD64DC">
        <w:rPr>
          <w:i/>
        </w:rPr>
        <w:t>och wo soll</w:t>
      </w:r>
      <w:r>
        <w:rPr>
          <w:i/>
        </w:rPr>
        <w:t xml:space="preserve">en die herkommen, wenn gleichzeitig die Pflegepersonalkosten trotz gegenteiliger Versprechen vorfinanziert werden müssen, </w:t>
      </w:r>
      <w:r w:rsidR="003F73EA">
        <w:rPr>
          <w:i/>
        </w:rPr>
        <w:t>die Energiekosten und in der Folge auch die allgemeinen Preise in die Höhe schießen und die CORONA-Hilfen am 19. März auslaufen</w:t>
      </w:r>
      <w:r w:rsidR="00456A39">
        <w:rPr>
          <w:i/>
        </w:rPr>
        <w:t xml:space="preserve">, obwohl </w:t>
      </w:r>
      <w:r w:rsidR="002F6B39">
        <w:rPr>
          <w:i/>
        </w:rPr>
        <w:t>die Pandemie</w:t>
      </w:r>
      <w:r w:rsidR="00456A39">
        <w:rPr>
          <w:i/>
        </w:rPr>
        <w:t xml:space="preserve"> noch längs</w:t>
      </w:r>
      <w:r w:rsidR="002F6B39">
        <w:rPr>
          <w:i/>
        </w:rPr>
        <w:t>t</w:t>
      </w:r>
      <w:r w:rsidR="00456A39">
        <w:rPr>
          <w:i/>
        </w:rPr>
        <w:t xml:space="preserve"> nicht überstanden ist und die Kliniken weiter</w:t>
      </w:r>
      <w:r w:rsidR="002F6B39">
        <w:rPr>
          <w:i/>
        </w:rPr>
        <w:t xml:space="preserve"> belastet</w:t>
      </w:r>
      <w:r w:rsidR="003F73EA">
        <w:rPr>
          <w:i/>
        </w:rPr>
        <w:t>?</w:t>
      </w:r>
      <w:r w:rsidR="003F73EA">
        <w:t>"</w:t>
      </w:r>
    </w:p>
    <w:p w14:paraId="7E2F8025" w14:textId="04077ADD" w:rsidR="00536C40" w:rsidRDefault="00536C40" w:rsidP="00592DF1">
      <w:r>
        <w:t xml:space="preserve">So stellt Geschäftsführer Reinhard Schaffert die aktuelle Situation der Krankenhäuser anlässlich der Mitgliederversammlung des Klinikverbunds Hessen e. V. dar. </w:t>
      </w:r>
      <w:r w:rsidR="0043573B">
        <w:t>Es müsse endlich ein Ende haben, dass die Krankenhäuser immer in Vorleistung gehen müssten, sei es beim Pflegebudget</w:t>
      </w:r>
      <w:r w:rsidR="007639C9">
        <w:t>, bei Tarifsteigerungen oder bei der allgemeinen Kostenentwicklung, die aktuell angesichts des Krieges in der Ukraine unabsehbar in die Höhe schieße. "</w:t>
      </w:r>
      <w:r w:rsidR="007639C9">
        <w:rPr>
          <w:i/>
        </w:rPr>
        <w:t>Dazu ist einfach kein Spielraum mehr da, denn diese Kosten und Vorleistungen können die Krankenhäuser nur stemmen, wenn sie entweder Gewinne bei den Behandlu</w:t>
      </w:r>
      <w:r w:rsidR="00556FB2">
        <w:rPr>
          <w:i/>
        </w:rPr>
        <w:t>ng</w:t>
      </w:r>
      <w:r w:rsidR="007639C9">
        <w:rPr>
          <w:i/>
        </w:rPr>
        <w:t>serl</w:t>
      </w:r>
      <w:r w:rsidR="00556FB2">
        <w:rPr>
          <w:i/>
        </w:rPr>
        <w:t>ösen erzielen oder an anderer Stelle Kosten einsparen – beides ist inzwischen kaum noch möglich</w:t>
      </w:r>
      <w:r w:rsidR="00556FB2">
        <w:t>", erklärt Clemens Maurer, Vorstandsvorsitzender des Klinikverbunds Hessen</w:t>
      </w:r>
      <w:r w:rsidR="00834036">
        <w:t xml:space="preserve"> und konkretisiert: "</w:t>
      </w:r>
      <w:r w:rsidR="007E4E83">
        <w:rPr>
          <w:i/>
        </w:rPr>
        <w:t>U</w:t>
      </w:r>
      <w:r w:rsidR="00834036">
        <w:rPr>
          <w:i/>
        </w:rPr>
        <w:t xml:space="preserve">nser Haus </w:t>
      </w:r>
      <w:r w:rsidR="007E4E83">
        <w:rPr>
          <w:i/>
        </w:rPr>
        <w:t xml:space="preserve">muss </w:t>
      </w:r>
      <w:r w:rsidR="00834036">
        <w:rPr>
          <w:i/>
        </w:rPr>
        <w:t xml:space="preserve">wegen der schleppenden Verhandlungen </w:t>
      </w:r>
      <w:r w:rsidR="009B62F5">
        <w:rPr>
          <w:i/>
        </w:rPr>
        <w:t>seit 2020</w:t>
      </w:r>
      <w:r w:rsidR="007E4E83">
        <w:rPr>
          <w:i/>
        </w:rPr>
        <w:t xml:space="preserve"> </w:t>
      </w:r>
      <w:r w:rsidR="00834036">
        <w:rPr>
          <w:i/>
        </w:rPr>
        <w:t>rund 1</w:t>
      </w:r>
      <w:r w:rsidR="00AC6031">
        <w:rPr>
          <w:i/>
        </w:rPr>
        <w:t>9</w:t>
      </w:r>
      <w:r w:rsidR="00834036">
        <w:rPr>
          <w:i/>
        </w:rPr>
        <w:t xml:space="preserve"> Millionen Euro an Personalkosten für die Pflege </w:t>
      </w:r>
      <w:r w:rsidR="007E4E83">
        <w:rPr>
          <w:i/>
        </w:rPr>
        <w:t xml:space="preserve">vorlegen und </w:t>
      </w:r>
      <w:r w:rsidR="00F773F8">
        <w:rPr>
          <w:i/>
        </w:rPr>
        <w:t>in 2022 werden es noch einmal 13 Millionen sein. B</w:t>
      </w:r>
      <w:r w:rsidR="007E4E83">
        <w:rPr>
          <w:i/>
        </w:rPr>
        <w:t>is dieses Geld über zu vereinbarende Ausgleiche zurückfließt werden noch Jahre vergehen</w:t>
      </w:r>
      <w:r w:rsidR="007E4E83">
        <w:t xml:space="preserve">". </w:t>
      </w:r>
      <w:r w:rsidR="00AD0362">
        <w:t>Die</w:t>
      </w:r>
      <w:r w:rsidR="007E4E83">
        <w:t xml:space="preserve"> Politik </w:t>
      </w:r>
      <w:r w:rsidR="000879D4">
        <w:t xml:space="preserve">habe </w:t>
      </w:r>
      <w:r w:rsidR="007E4E83">
        <w:t xml:space="preserve">mit dem Pflegepersonalstärkungsgesetz </w:t>
      </w:r>
      <w:r w:rsidR="0026223F">
        <w:t xml:space="preserve">nicht nur versprochen, die Pflegepersonalkosten vollständig zu </w:t>
      </w:r>
      <w:r w:rsidR="004C7EDC">
        <w:t>refinanzieren,</w:t>
      </w:r>
      <w:r w:rsidR="0026223F">
        <w:t xml:space="preserve"> sondern auch das Ziel gehabt, die Situation der Pflege zu verbessern und Anreize für zusätzliche Stellen und entlastende Maßnahmen zu geben. </w:t>
      </w:r>
      <w:r w:rsidR="009967A3">
        <w:t>Dies sei jedoch nicht möglich, wenn die Krankenhäuser dazu in Vorleistung gehen müssten.</w:t>
      </w:r>
    </w:p>
    <w:p w14:paraId="6CC3C8A8" w14:textId="517B658B" w:rsidR="00612E60" w:rsidRDefault="00E17818" w:rsidP="00592DF1">
      <w:r>
        <w:t xml:space="preserve">Ähnliches gelte </w:t>
      </w:r>
      <w:r w:rsidR="0041465A">
        <w:t>auch für andere Finanzierungsprojekte wie den Struktur- und Zukunftsfonds</w:t>
      </w:r>
      <w:r w:rsidR="00F62ECE">
        <w:t xml:space="preserve">. </w:t>
      </w:r>
      <w:r w:rsidR="00631F97">
        <w:t xml:space="preserve">Hier seien </w:t>
      </w:r>
      <w:r w:rsidR="004A2A21">
        <w:t xml:space="preserve">Antragsstellung </w:t>
      </w:r>
      <w:r w:rsidR="00FC741B">
        <w:t>sowie</w:t>
      </w:r>
      <w:r w:rsidR="004A2A21">
        <w:t xml:space="preserve"> deren Prüfung durch das Bundesamt für Soziale Sicherung und das Land so </w:t>
      </w:r>
      <w:r w:rsidR="008C2E0E">
        <w:t xml:space="preserve">aufwändig und </w:t>
      </w:r>
      <w:r w:rsidR="004A2A21">
        <w:t xml:space="preserve">schleppend, </w:t>
      </w:r>
      <w:r w:rsidR="00B754A7">
        <w:t>dass die damit verfolgten Ziele nicht in der vorgesehen</w:t>
      </w:r>
      <w:r w:rsidR="00D87937">
        <w:t>en Frist erreicht werden könnten. Wenn</w:t>
      </w:r>
      <w:r w:rsidR="00430186">
        <w:t>,</w:t>
      </w:r>
      <w:r w:rsidR="00D87937">
        <w:t xml:space="preserve"> wie beim Krankenhauszukunftsgesetz</w:t>
      </w:r>
      <w:r w:rsidR="00430186">
        <w:t>,</w:t>
      </w:r>
      <w:r w:rsidR="00D87937">
        <w:t xml:space="preserve"> </w:t>
      </w:r>
      <w:r w:rsidR="00430186">
        <w:t xml:space="preserve">konkret zu erreichende Ziele vorgegeben </w:t>
      </w:r>
      <w:r w:rsidR="003E7CFE">
        <w:t xml:space="preserve">wären und deren Nichterreichung sanktioniert würde, dann bräuchte es auch kein so aufwändiges Antragsverfahren im Vorfeld. </w:t>
      </w:r>
      <w:r w:rsidR="0053282D">
        <w:t xml:space="preserve">Insgesamt habe in den letzten Jahren der bürokratische Aufwand </w:t>
      </w:r>
      <w:r w:rsidR="00E078C2">
        <w:t>in vielen Bereichen</w:t>
      </w:r>
      <w:r w:rsidR="00C64624">
        <w:t xml:space="preserve"> erheblich zugenommen</w:t>
      </w:r>
      <w:r w:rsidR="00A766FA">
        <w:t xml:space="preserve"> und entziehe der eigentlichen Aufgabe der Patientenversorgung immer mehr Ressourcen. </w:t>
      </w:r>
    </w:p>
    <w:p w14:paraId="250020A3" w14:textId="2726623A" w:rsidR="00394BBA" w:rsidRDefault="00FA5688" w:rsidP="00592DF1">
      <w:r w:rsidRPr="00166785">
        <w:t xml:space="preserve">In der öffentlichen und politischen Diskussion </w:t>
      </w:r>
      <w:r w:rsidR="00166785">
        <w:t>werde</w:t>
      </w:r>
      <w:r w:rsidRPr="00166785">
        <w:t xml:space="preserve"> oft unterstellt, </w:t>
      </w:r>
      <w:r w:rsidR="00A05DFB" w:rsidRPr="00166785">
        <w:t xml:space="preserve">die Krankenhäuser wollten sich bereichern </w:t>
      </w:r>
      <w:r w:rsidR="00EE3691" w:rsidRPr="00166785">
        <w:t>und die Krankenhausversorgung werde kommerzialisiert</w:t>
      </w:r>
      <w:r w:rsidR="00166785" w:rsidRPr="00166785">
        <w:t xml:space="preserve">. </w:t>
      </w:r>
      <w:r w:rsidR="00166785">
        <w:t>"</w:t>
      </w:r>
      <w:r w:rsidR="00C73E51">
        <w:rPr>
          <w:i/>
        </w:rPr>
        <w:t xml:space="preserve">Tatsache ist, dass wir öffentlichen Krankenhäuser jeden </w:t>
      </w:r>
      <w:r w:rsidR="009E7C4D">
        <w:rPr>
          <w:i/>
        </w:rPr>
        <w:t xml:space="preserve">verfügbaren </w:t>
      </w:r>
      <w:r w:rsidR="00C73E51">
        <w:rPr>
          <w:i/>
        </w:rPr>
        <w:t>Cent</w:t>
      </w:r>
      <w:r w:rsidR="004E727B">
        <w:rPr>
          <w:i/>
        </w:rPr>
        <w:t xml:space="preserve"> wieder in die Versorgung stecken</w:t>
      </w:r>
      <w:r w:rsidR="00FB54CF">
        <w:rPr>
          <w:i/>
        </w:rPr>
        <w:t xml:space="preserve">, dennoch müssen auch öffentliche Krankenhäuser </w:t>
      </w:r>
      <w:r w:rsidR="00200B2F">
        <w:rPr>
          <w:i/>
        </w:rPr>
        <w:t xml:space="preserve">angesichts begrenzter Mittel </w:t>
      </w:r>
      <w:r w:rsidR="00110595">
        <w:rPr>
          <w:i/>
        </w:rPr>
        <w:t>nach wirtschaf</w:t>
      </w:r>
      <w:r w:rsidR="001B5A27">
        <w:rPr>
          <w:i/>
        </w:rPr>
        <w:t>t</w:t>
      </w:r>
      <w:r w:rsidR="00110595">
        <w:rPr>
          <w:i/>
        </w:rPr>
        <w:t>lichen Gesichtspunkten geführt werden</w:t>
      </w:r>
      <w:r w:rsidR="00200B2F">
        <w:t>", stellt Schaffert klar</w:t>
      </w:r>
      <w:r w:rsidR="001B5A27">
        <w:t xml:space="preserve">. </w:t>
      </w:r>
      <w:r w:rsidR="00563247">
        <w:t>Die Politik könne jedoch nicht</w:t>
      </w:r>
      <w:r w:rsidR="00A857FD">
        <w:t xml:space="preserve"> einerseits die Einnahmen der Krankenhäuser festlegen und begrenzen und </w:t>
      </w:r>
      <w:r w:rsidR="001B4ADD">
        <w:t>andererseits</w:t>
      </w:r>
      <w:r w:rsidR="00A857FD">
        <w:t xml:space="preserve"> bei den Kosten </w:t>
      </w:r>
      <w:r w:rsidR="00B87416">
        <w:t xml:space="preserve">dem </w:t>
      </w:r>
      <w:r w:rsidR="00A857FD">
        <w:t xml:space="preserve">Markt </w:t>
      </w:r>
      <w:r w:rsidR="00B87416">
        <w:t xml:space="preserve">freien Lauf lassen. </w:t>
      </w:r>
    </w:p>
    <w:p w14:paraId="48C97E7D" w14:textId="124F77A6" w:rsidR="00E57DC2" w:rsidRDefault="00120200" w:rsidP="00592DF1">
      <w:r>
        <w:lastRenderedPageBreak/>
        <w:t xml:space="preserve">In der aktuellen Situation seien aus Sicht des Klinikverbunds Hessen </w:t>
      </w:r>
      <w:r w:rsidR="0005098A">
        <w:t xml:space="preserve">kurz und mittelfristige Maßnahmen erforderlich: </w:t>
      </w:r>
    </w:p>
    <w:p w14:paraId="44651E26" w14:textId="77777777" w:rsidR="00A07F72" w:rsidRPr="00A07F72" w:rsidRDefault="00A07F72" w:rsidP="00CB7FB0">
      <w:pPr>
        <w:pStyle w:val="berschrift3"/>
      </w:pPr>
      <w:r w:rsidRPr="00A07F72">
        <w:t>Sofortmaßnahmen</w:t>
      </w:r>
    </w:p>
    <w:p w14:paraId="76426115" w14:textId="77777777" w:rsidR="00A07F72" w:rsidRPr="00A07F72" w:rsidRDefault="00A07F72" w:rsidP="00CB7FB0">
      <w:pPr>
        <w:pStyle w:val="Listenabsatz"/>
        <w:numPr>
          <w:ilvl w:val="0"/>
          <w:numId w:val="39"/>
        </w:numPr>
        <w:ind w:left="360"/>
      </w:pPr>
      <w:r w:rsidRPr="00A07F72">
        <w:t xml:space="preserve">Erhöhung des vorläufigen Pflegeentgeltwertes </w:t>
      </w:r>
    </w:p>
    <w:p w14:paraId="6B935531" w14:textId="29C55A47" w:rsidR="00A07F72" w:rsidRPr="00A07F72" w:rsidRDefault="00CB7FB0" w:rsidP="00CB7FB0">
      <w:pPr>
        <w:pStyle w:val="Listenabsatz"/>
        <w:numPr>
          <w:ilvl w:val="1"/>
          <w:numId w:val="39"/>
        </w:numPr>
        <w:ind w:left="720"/>
      </w:pPr>
      <w:r>
        <w:t xml:space="preserve">auf </w:t>
      </w:r>
      <w:r w:rsidR="00A07F72" w:rsidRPr="00A07F72">
        <w:t>mindesten 2</w:t>
      </w:r>
      <w:r>
        <w:t>50</w:t>
      </w:r>
      <w:r w:rsidR="00A07F72" w:rsidRPr="00A07F72">
        <w:t xml:space="preserve"> € </w:t>
      </w:r>
    </w:p>
    <w:p w14:paraId="0E382EAB" w14:textId="77777777" w:rsidR="00A07F72" w:rsidRPr="00A07F72" w:rsidRDefault="00A07F72" w:rsidP="00CB7FB0">
      <w:pPr>
        <w:pStyle w:val="Listenabsatz"/>
        <w:numPr>
          <w:ilvl w:val="1"/>
          <w:numId w:val="39"/>
        </w:numPr>
        <w:ind w:left="720"/>
      </w:pPr>
      <w:r w:rsidRPr="00A07F72">
        <w:t xml:space="preserve">automatische jährliche Anpassung aller Pflegeentgeltwerte um den Veränderungswert </w:t>
      </w:r>
    </w:p>
    <w:p w14:paraId="1CDBD69F" w14:textId="3399FCD3" w:rsidR="00A07F72" w:rsidRPr="00A07F72" w:rsidRDefault="002902F3" w:rsidP="00F821C4">
      <w:pPr>
        <w:pStyle w:val="Listenabsatz"/>
        <w:ind w:left="360"/>
      </w:pPr>
      <w:r>
        <w:t>als</w:t>
      </w:r>
      <w:r w:rsidR="00F821C4">
        <w:t xml:space="preserve"> </w:t>
      </w:r>
      <w:r w:rsidR="00A07F72" w:rsidRPr="00A07F72">
        <w:t>Motivation zur Beschleunigung der Verhandlungen</w:t>
      </w:r>
    </w:p>
    <w:p w14:paraId="38C54E88" w14:textId="454532C7" w:rsidR="00A07F72" w:rsidRPr="00A07F72" w:rsidRDefault="00A07F72" w:rsidP="00CB7FB0">
      <w:pPr>
        <w:pStyle w:val="Listenabsatz"/>
        <w:numPr>
          <w:ilvl w:val="0"/>
          <w:numId w:val="39"/>
        </w:numPr>
        <w:ind w:left="360"/>
      </w:pPr>
      <w:r w:rsidRPr="00A07F72">
        <w:t>Medizinischer Dienst</w:t>
      </w:r>
      <w:r w:rsidR="00F821C4">
        <w:t>:</w:t>
      </w:r>
    </w:p>
    <w:p w14:paraId="046276CD" w14:textId="77777777" w:rsidR="00A07F72" w:rsidRPr="00A07F72" w:rsidRDefault="00A07F72" w:rsidP="00541031">
      <w:pPr>
        <w:pStyle w:val="Listenabsatz"/>
        <w:numPr>
          <w:ilvl w:val="1"/>
          <w:numId w:val="39"/>
        </w:numPr>
        <w:ind w:left="720"/>
      </w:pPr>
      <w:r w:rsidRPr="00A07F72">
        <w:t xml:space="preserve">Aussetzung der Abrechnungs- und Strukturprüfungen </w:t>
      </w:r>
    </w:p>
    <w:p w14:paraId="50743D36" w14:textId="77777777" w:rsidR="00A07F72" w:rsidRPr="00A07F72" w:rsidRDefault="00A07F72" w:rsidP="00541031">
      <w:pPr>
        <w:pStyle w:val="Listenabsatz"/>
        <w:numPr>
          <w:ilvl w:val="1"/>
          <w:numId w:val="39"/>
        </w:numPr>
        <w:ind w:left="720"/>
      </w:pPr>
      <w:r w:rsidRPr="00A07F72">
        <w:t xml:space="preserve">Generelle Absenkung der Prüfquote auf 5% </w:t>
      </w:r>
    </w:p>
    <w:p w14:paraId="165D16F0" w14:textId="77777777" w:rsidR="00A07F72" w:rsidRPr="00A07F72" w:rsidRDefault="00A07F72" w:rsidP="00541031">
      <w:pPr>
        <w:pStyle w:val="Listenabsatz"/>
        <w:numPr>
          <w:ilvl w:val="1"/>
          <w:numId w:val="39"/>
        </w:numPr>
        <w:ind w:left="720"/>
      </w:pPr>
      <w:r w:rsidRPr="00A07F72">
        <w:t xml:space="preserve">Abschaffung der Aufschläge bei Rückzahlungen. </w:t>
      </w:r>
    </w:p>
    <w:p w14:paraId="0C45B242" w14:textId="77777777" w:rsidR="00A07F72" w:rsidRPr="00A07F72" w:rsidRDefault="00A07F72" w:rsidP="00CB7FB0">
      <w:pPr>
        <w:pStyle w:val="Listenabsatz"/>
        <w:numPr>
          <w:ilvl w:val="0"/>
          <w:numId w:val="39"/>
        </w:numPr>
        <w:ind w:left="360"/>
      </w:pPr>
      <w:r w:rsidRPr="00A07F72">
        <w:t xml:space="preserve">Anpassung des Mindererlösausgleichs für das Jahr 2021/2022 </w:t>
      </w:r>
    </w:p>
    <w:p w14:paraId="68D442E0" w14:textId="77777777" w:rsidR="00A07F72" w:rsidRPr="00A07F72" w:rsidRDefault="00A07F72" w:rsidP="00541031">
      <w:pPr>
        <w:pStyle w:val="Listenabsatz"/>
        <w:numPr>
          <w:ilvl w:val="1"/>
          <w:numId w:val="39"/>
        </w:numPr>
        <w:ind w:left="720"/>
      </w:pPr>
      <w:r w:rsidRPr="00A07F72">
        <w:t>Basis 100% der Erlöse 2019 (statt 98%)</w:t>
      </w:r>
    </w:p>
    <w:p w14:paraId="32166E5B" w14:textId="77777777" w:rsidR="00A07F72" w:rsidRPr="00A07F72" w:rsidRDefault="00A07F72" w:rsidP="00CB7FB0">
      <w:pPr>
        <w:pStyle w:val="Listenabsatz"/>
        <w:numPr>
          <w:ilvl w:val="0"/>
          <w:numId w:val="39"/>
        </w:numPr>
        <w:ind w:left="360"/>
      </w:pPr>
      <w:r w:rsidRPr="00A07F72">
        <w:t>Fortführung der COVID-Versorgungszuschläge und Ausgleichszahlungen über den 19. März hinaus</w:t>
      </w:r>
    </w:p>
    <w:p w14:paraId="219470E0" w14:textId="7450E489" w:rsidR="00A07F72" w:rsidRPr="00A07F72" w:rsidRDefault="009E3333" w:rsidP="00CB7FB0">
      <w:pPr>
        <w:pStyle w:val="Listenabsatz"/>
        <w:numPr>
          <w:ilvl w:val="0"/>
          <w:numId w:val="39"/>
        </w:numPr>
        <w:ind w:left="360"/>
      </w:pPr>
      <w:r>
        <w:t xml:space="preserve">Einführung eines </w:t>
      </w:r>
      <w:r w:rsidR="00A07F72" w:rsidRPr="00A07F72">
        <w:t>Energiekosten</w:t>
      </w:r>
      <w:r>
        <w:t>- bzw. Inflations</w:t>
      </w:r>
      <w:r w:rsidR="00A07F72" w:rsidRPr="00A07F72">
        <w:t>zuschlag</w:t>
      </w:r>
      <w:r>
        <w:t>s</w:t>
      </w:r>
    </w:p>
    <w:p w14:paraId="5E8F6F96" w14:textId="62FEF25A" w:rsidR="0005098A" w:rsidRDefault="00E93647" w:rsidP="00CB7FB0">
      <w:pPr>
        <w:pStyle w:val="Listenabsatz"/>
        <w:numPr>
          <w:ilvl w:val="0"/>
          <w:numId w:val="39"/>
        </w:numPr>
        <w:ind w:left="360"/>
      </w:pPr>
      <w:r>
        <w:t xml:space="preserve">Ergänzende Landesregelung </w:t>
      </w:r>
      <w:r w:rsidR="00A34664">
        <w:t>zum</w:t>
      </w:r>
      <w:r w:rsidR="00A07F72" w:rsidRPr="00A07F72">
        <w:t xml:space="preserve"> Sicherstellungszuschlag, um notwendige Kliniken in </w:t>
      </w:r>
      <w:r>
        <w:t xml:space="preserve">strukturschwachen </w:t>
      </w:r>
      <w:r w:rsidR="00A07F72" w:rsidRPr="00A07F72">
        <w:t>Regionen zu erhalten</w:t>
      </w:r>
    </w:p>
    <w:p w14:paraId="346001DD" w14:textId="52514413" w:rsidR="00F22F72" w:rsidRPr="00F22F72" w:rsidRDefault="00F22F72" w:rsidP="00A85A45">
      <w:pPr>
        <w:pStyle w:val="berschrift3"/>
      </w:pPr>
      <w:r w:rsidRPr="00F22F72">
        <w:t>Mittelfristige Maßnahmen:</w:t>
      </w:r>
    </w:p>
    <w:p w14:paraId="623445D6" w14:textId="77777777" w:rsidR="00F22F72" w:rsidRPr="00F22F72" w:rsidRDefault="00F22F72" w:rsidP="00A85A45">
      <w:pPr>
        <w:pStyle w:val="Listenabsatz"/>
        <w:numPr>
          <w:ilvl w:val="0"/>
          <w:numId w:val="39"/>
        </w:numPr>
        <w:ind w:left="360"/>
      </w:pPr>
      <w:r w:rsidRPr="00F22F72">
        <w:t>Dauerhafte Beibehaltung der Zahlungsfrist von fünf Tagen für die Vergütung von Krankenhausleistungen</w:t>
      </w:r>
    </w:p>
    <w:p w14:paraId="0A6818AF" w14:textId="77777777" w:rsidR="00F22F72" w:rsidRPr="00F22F72" w:rsidRDefault="00F22F72" w:rsidP="00A85A45">
      <w:pPr>
        <w:pStyle w:val="Listenabsatz"/>
        <w:numPr>
          <w:ilvl w:val="0"/>
          <w:numId w:val="39"/>
        </w:numPr>
        <w:ind w:left="360"/>
      </w:pPr>
      <w:r w:rsidRPr="00F22F72">
        <w:t>Beschleunigung und Entbürokratisierung der Budgetverhandlungen:</w:t>
      </w:r>
    </w:p>
    <w:p w14:paraId="5687A14D" w14:textId="1FCB86B2" w:rsidR="00F22F72" w:rsidRPr="00F22F72" w:rsidRDefault="00F22F72" w:rsidP="00A85A45">
      <w:pPr>
        <w:pStyle w:val="Listenabsatz"/>
        <w:numPr>
          <w:ilvl w:val="1"/>
          <w:numId w:val="39"/>
        </w:numPr>
        <w:ind w:left="720"/>
      </w:pPr>
      <w:r w:rsidRPr="00F22F72">
        <w:t>Abschließende gesetzliche Festlegung erforderlicher Unterlagen</w:t>
      </w:r>
      <w:r w:rsidRPr="00F22F72">
        <w:br/>
        <w:t>(</w:t>
      </w:r>
      <w:r w:rsidR="001A1D1D">
        <w:t>zur Vermeidung</w:t>
      </w:r>
      <w:r w:rsidRPr="00F22F72">
        <w:t xml:space="preserve"> permanente</w:t>
      </w:r>
      <w:r w:rsidR="006B52B2">
        <w:t>r</w:t>
      </w:r>
      <w:r w:rsidRPr="00F22F72">
        <w:t xml:space="preserve"> Nachforderungen von Unterlagen durch die Kostenträger als Strategie der Verzögerung)</w:t>
      </w:r>
    </w:p>
    <w:p w14:paraId="2C43FBDD" w14:textId="77777777" w:rsidR="00F22F72" w:rsidRPr="00F22F72" w:rsidRDefault="00F22F72" w:rsidP="00A85A45">
      <w:pPr>
        <w:pStyle w:val="Listenabsatz"/>
        <w:numPr>
          <w:ilvl w:val="1"/>
          <w:numId w:val="39"/>
        </w:numPr>
        <w:ind w:left="720"/>
      </w:pPr>
      <w:r w:rsidRPr="00F22F72">
        <w:t>Verringerung der Testat-Pflichten</w:t>
      </w:r>
    </w:p>
    <w:p w14:paraId="47220E8C" w14:textId="2A7E9D64" w:rsidR="00F22F72" w:rsidRPr="00F22F72" w:rsidRDefault="00F22F72" w:rsidP="00A85A45">
      <w:pPr>
        <w:pStyle w:val="Listenabsatz"/>
        <w:numPr>
          <w:ilvl w:val="1"/>
          <w:numId w:val="39"/>
        </w:numPr>
        <w:ind w:left="720"/>
      </w:pPr>
      <w:r w:rsidRPr="00F22F72">
        <w:t>Keine Infragestellung von Testaten und recht</w:t>
      </w:r>
      <w:r w:rsidR="00834510">
        <w:t>s</w:t>
      </w:r>
      <w:r w:rsidRPr="00F22F72">
        <w:t>verbindlichen Erklärungen</w:t>
      </w:r>
    </w:p>
    <w:p w14:paraId="0094F2B8" w14:textId="77777777" w:rsidR="00F22F72" w:rsidRPr="00F22F72" w:rsidRDefault="00F22F72" w:rsidP="00A85A45">
      <w:pPr>
        <w:pStyle w:val="Listenabsatz"/>
        <w:numPr>
          <w:ilvl w:val="1"/>
          <w:numId w:val="39"/>
        </w:numPr>
        <w:ind w:left="720"/>
      </w:pPr>
      <w:r w:rsidRPr="00F22F72">
        <w:t>Bei Aufforderung zur Verhandlung durch das Krankenhaus vorläufige Festsetzung der Forderung nach 12 Wochen</w:t>
      </w:r>
    </w:p>
    <w:p w14:paraId="6D3038DC" w14:textId="77777777" w:rsidR="00F22F72" w:rsidRPr="00F22F72" w:rsidRDefault="00F22F72" w:rsidP="00A85A45">
      <w:pPr>
        <w:pStyle w:val="Listenabsatz"/>
        <w:numPr>
          <w:ilvl w:val="0"/>
          <w:numId w:val="39"/>
        </w:numPr>
        <w:ind w:left="360"/>
      </w:pPr>
      <w:r w:rsidRPr="00F22F72">
        <w:t xml:space="preserve">Reform der Krankenhausfinanzierung </w:t>
      </w:r>
    </w:p>
    <w:p w14:paraId="6E023CB7" w14:textId="77777777" w:rsidR="00F22F72" w:rsidRPr="00F22F72" w:rsidRDefault="00F22F72" w:rsidP="00287946">
      <w:pPr>
        <w:pStyle w:val="Listenabsatz"/>
        <w:numPr>
          <w:ilvl w:val="1"/>
          <w:numId w:val="39"/>
        </w:numPr>
        <w:ind w:left="720"/>
      </w:pPr>
      <w:r w:rsidRPr="00F22F72">
        <w:t>Auskömmliche Investitions-, Betriebskosten- und Vorhaltefinanzierung</w:t>
      </w:r>
    </w:p>
    <w:p w14:paraId="66E03A54" w14:textId="77777777" w:rsidR="00F22F72" w:rsidRPr="00F22F72" w:rsidRDefault="00F22F72" w:rsidP="00287946">
      <w:pPr>
        <w:pStyle w:val="Listenabsatz"/>
        <w:numPr>
          <w:ilvl w:val="1"/>
          <w:numId w:val="39"/>
        </w:numPr>
        <w:ind w:left="720"/>
      </w:pPr>
      <w:r w:rsidRPr="00F22F72">
        <w:t>Beteiligung von Krankenhauspraktikern an der geplanten Expertenkommission</w:t>
      </w:r>
    </w:p>
    <w:p w14:paraId="432AA07A" w14:textId="53E24D3E" w:rsidR="00F22F72" w:rsidRPr="00F22F72" w:rsidRDefault="00F22F72" w:rsidP="00A85A45">
      <w:pPr>
        <w:pStyle w:val="Listenabsatz"/>
        <w:numPr>
          <w:ilvl w:val="0"/>
          <w:numId w:val="39"/>
        </w:numPr>
        <w:ind w:left="360"/>
      </w:pPr>
      <w:r w:rsidRPr="00F22F72">
        <w:t>Spürbare Entlastung von bürokratischen Aufwänden und Vorgaben</w:t>
      </w:r>
      <w:r w:rsidR="00287946">
        <w:t>, unter anderem in den Bereichen</w:t>
      </w:r>
    </w:p>
    <w:p w14:paraId="555B3ABE" w14:textId="77777777" w:rsidR="00F22F72" w:rsidRPr="00F22F72" w:rsidRDefault="00F22F72" w:rsidP="00287946">
      <w:pPr>
        <w:pStyle w:val="Listenabsatz"/>
        <w:numPr>
          <w:ilvl w:val="1"/>
          <w:numId w:val="39"/>
        </w:numPr>
        <w:ind w:left="720"/>
      </w:pPr>
      <w:r w:rsidRPr="00F22F72">
        <w:t>Qualitätssicherung</w:t>
      </w:r>
    </w:p>
    <w:p w14:paraId="27E95D5F" w14:textId="61FD78FE" w:rsidR="00F22F72" w:rsidRPr="00F22F72" w:rsidRDefault="00F22F72" w:rsidP="00287946">
      <w:pPr>
        <w:pStyle w:val="Listenabsatz"/>
        <w:numPr>
          <w:ilvl w:val="1"/>
          <w:numId w:val="39"/>
        </w:numPr>
        <w:ind w:left="720"/>
      </w:pPr>
      <w:r w:rsidRPr="00F22F72">
        <w:t>Personaleinsatz</w:t>
      </w:r>
      <w:r w:rsidR="00287946">
        <w:t xml:space="preserve"> (Pflegepersonaluntergrenzen)</w:t>
      </w:r>
    </w:p>
    <w:p w14:paraId="3EAFD0E4" w14:textId="77777777" w:rsidR="00F22F72" w:rsidRPr="00F22F72" w:rsidRDefault="00F22F72" w:rsidP="00287946">
      <w:pPr>
        <w:pStyle w:val="Listenabsatz"/>
        <w:numPr>
          <w:ilvl w:val="1"/>
          <w:numId w:val="39"/>
        </w:numPr>
        <w:ind w:left="720"/>
      </w:pPr>
      <w:r w:rsidRPr="00F22F72">
        <w:t>Prüfungen durch den Medizinischen Dienst</w:t>
      </w:r>
    </w:p>
    <w:p w14:paraId="79ED8A53" w14:textId="77777777" w:rsidR="00F22F72" w:rsidRPr="00F22F72" w:rsidRDefault="00F22F72" w:rsidP="00287946">
      <w:pPr>
        <w:pStyle w:val="Listenabsatz"/>
        <w:numPr>
          <w:ilvl w:val="1"/>
          <w:numId w:val="39"/>
        </w:numPr>
        <w:ind w:left="720"/>
      </w:pPr>
      <w:r w:rsidRPr="00F22F72">
        <w:t>Prüfaufwände bei der Vergabe von Bundesmitteln (KHZG)</w:t>
      </w:r>
    </w:p>
    <w:p w14:paraId="79F6306A" w14:textId="722BC902" w:rsidR="00F22F72" w:rsidRDefault="00F22F72" w:rsidP="003074EA">
      <w:pPr>
        <w:pStyle w:val="Listenabsatz"/>
        <w:ind w:left="360"/>
      </w:pPr>
      <w:r w:rsidRPr="00F22F72">
        <w:t>Stattdessen Schaffung von Leitplanken, in denen sich die Krankenhäuser bewegen und entfalten können</w:t>
      </w:r>
      <w:r w:rsidR="0055486B">
        <w:t>.</w:t>
      </w:r>
    </w:p>
    <w:sectPr w:rsidR="00F22F72" w:rsidSect="001E4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8CD3" w14:textId="77777777" w:rsidR="000568E3" w:rsidRDefault="000568E3" w:rsidP="0001630F">
      <w:r>
        <w:separator/>
      </w:r>
    </w:p>
  </w:endnote>
  <w:endnote w:type="continuationSeparator" w:id="0">
    <w:p w14:paraId="715FE473" w14:textId="77777777" w:rsidR="000568E3" w:rsidRDefault="000568E3" w:rsidP="0001630F">
      <w:r>
        <w:continuationSeparator/>
      </w:r>
    </w:p>
  </w:endnote>
  <w:endnote w:type="continuationNotice" w:id="1">
    <w:p w14:paraId="5D62C3CB" w14:textId="77777777" w:rsidR="000568E3" w:rsidRDefault="000568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0C9B" w14:textId="77777777" w:rsidR="00516BE1" w:rsidRDefault="00516B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177D" w14:textId="77777777" w:rsidR="00EF1DD9" w:rsidRDefault="00B82A8C" w:rsidP="00256040">
    <w:pPr>
      <w:pStyle w:val="Fuzeile"/>
    </w:pPr>
    <w:r>
      <w:drawing>
        <wp:anchor distT="0" distB="0" distL="114300" distR="114300" simplePos="0" relativeHeight="251676672" behindDoc="1" locked="0" layoutInCell="1" allowOverlap="1" wp14:anchorId="5946324C" wp14:editId="75048305">
          <wp:simplePos x="0" y="0"/>
          <wp:positionH relativeFrom="column">
            <wp:posOffset>-883992</wp:posOffset>
          </wp:positionH>
          <wp:positionV relativeFrom="paragraph">
            <wp:posOffset>-848337</wp:posOffset>
          </wp:positionV>
          <wp:extent cx="1416279" cy="169077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98" cy="169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FC" w:rsidRPr="00DF6021">
      <mc:AlternateContent>
        <mc:Choice Requires="wps">
          <w:drawing>
            <wp:anchor distT="0" distB="0" distL="114300" distR="114300" simplePos="0" relativeHeight="251675648" behindDoc="0" locked="1" layoutInCell="0" allowOverlap="1" wp14:anchorId="492348DB" wp14:editId="69AEE514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9558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A12F8F" id="Gerade Verbindung 6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" o:allowincell="f" strokecolor="#9bbb59 [3206]">
              <w10:wrap anchorx="page" anchory="page"/>
              <w10:anchorlock/>
            </v:line>
          </w:pict>
        </mc:Fallback>
      </mc:AlternateContent>
    </w:r>
    <w:r w:rsidR="00D714DB" w:rsidRPr="00D714DB">
      <w:t xml:space="preserve">Klinikverbund Hessen | Seite </w:t>
    </w:r>
    <w:r w:rsidR="00D714DB" w:rsidRPr="00D714DB">
      <w:fldChar w:fldCharType="begin"/>
    </w:r>
    <w:r w:rsidR="00D714DB" w:rsidRPr="00D714DB">
      <w:instrText>PAGE  \* Arabic  \* MERGEFORMAT</w:instrText>
    </w:r>
    <w:r w:rsidR="00D714DB" w:rsidRPr="00D714DB">
      <w:fldChar w:fldCharType="separate"/>
    </w:r>
    <w:r>
      <w:t>2</w:t>
    </w:r>
    <w:r w:rsidR="00D714DB" w:rsidRPr="00D714DB">
      <w:fldChar w:fldCharType="end"/>
    </w:r>
    <w:r w:rsidR="00D714DB" w:rsidRPr="00D714DB">
      <w:t xml:space="preserve"> von </w:t>
    </w:r>
    <w:r w:rsidR="000568E3">
      <w:fldChar w:fldCharType="begin"/>
    </w:r>
    <w:r w:rsidR="000568E3">
      <w:instrText>NUMPAGES  \* Arabic  \* MERGEFORMAT</w:instrText>
    </w:r>
    <w:r w:rsidR="000568E3">
      <w:fldChar w:fldCharType="separate"/>
    </w:r>
    <w:r>
      <w:t>2</w:t>
    </w:r>
    <w:r w:rsidR="000568E3">
      <w:fldChar w:fldCharType="end"/>
    </w:r>
  </w:p>
  <w:p w14:paraId="2A1CD61A" w14:textId="77777777" w:rsidR="008B420D" w:rsidRPr="00D714DB" w:rsidRDefault="008B420D" w:rsidP="002560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827"/>
      <w:gridCol w:w="2993"/>
    </w:tblGrid>
    <w:tr w:rsidR="00DF6021" w:rsidRPr="001E4E09" w14:paraId="0DEF4E61" w14:textId="77777777" w:rsidTr="00383899">
      <w:tc>
        <w:tcPr>
          <w:tcW w:w="3119" w:type="dxa"/>
        </w:tcPr>
        <w:p w14:paraId="4B6134C5" w14:textId="77777777" w:rsidR="00DF6021" w:rsidRPr="00256040" w:rsidRDefault="00DF6021" w:rsidP="00256040">
          <w:pPr>
            <w:pStyle w:val="Fuzeile"/>
          </w:pPr>
          <w:r w:rsidRPr="00256040">
            <mc:AlternateContent>
              <mc:Choice Requires="wps">
                <w:drawing>
                  <wp:anchor distT="0" distB="0" distL="114300" distR="114300" simplePos="0" relativeHeight="251673600" behindDoc="0" locked="1" layoutInCell="0" allowOverlap="1" wp14:anchorId="0B2AFC86" wp14:editId="0B2659EE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9901555</wp:posOffset>
                    </wp:positionV>
                    <wp:extent cx="9558000" cy="0"/>
                    <wp:effectExtent l="0" t="0" r="24765" b="190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55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242A987" id="Gerade Verbindung 2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" o:allowincell="f" strokecolor="#9bbb59 [3206]">
                    <w10:wrap anchorx="page" anchory="page"/>
                    <w10:anchorlock/>
                  </v:line>
                </w:pict>
              </mc:Fallback>
            </mc:AlternateContent>
          </w:r>
          <w:r w:rsidRPr="00256040">
            <w:t xml:space="preserve">Vorsitzender: </w:t>
          </w:r>
          <w:r w:rsidR="004E30C9" w:rsidRPr="001E4E09">
            <w:t>Clemens Maurer</w:t>
          </w:r>
        </w:p>
      </w:tc>
      <w:tc>
        <w:tcPr>
          <w:tcW w:w="3827" w:type="dxa"/>
        </w:tcPr>
        <w:p w14:paraId="6B324C78" w14:textId="77777777" w:rsidR="00DF6021" w:rsidRPr="001E4E09" w:rsidRDefault="00DF6021" w:rsidP="00256040">
          <w:pPr>
            <w:pStyle w:val="Fuzeile"/>
          </w:pPr>
          <w:r w:rsidRPr="001E4E09">
            <w:t>Amtsgericht Wetzlar VR 4442</w:t>
          </w:r>
        </w:p>
      </w:tc>
      <w:tc>
        <w:tcPr>
          <w:tcW w:w="2993" w:type="dxa"/>
        </w:tcPr>
        <w:p w14:paraId="03AC8ECF" w14:textId="77777777" w:rsidR="00DF6021" w:rsidRPr="001E4E09" w:rsidRDefault="00DF6021" w:rsidP="00256040">
          <w:pPr>
            <w:pStyle w:val="Fuzeile"/>
          </w:pPr>
          <w:r w:rsidRPr="001E4E09">
            <w:t>Taunus Sparkasse</w:t>
          </w:r>
        </w:p>
      </w:tc>
    </w:tr>
    <w:tr w:rsidR="0001630F" w:rsidRPr="001E4E09" w14:paraId="12F7C777" w14:textId="77777777" w:rsidTr="00383899">
      <w:tc>
        <w:tcPr>
          <w:tcW w:w="3119" w:type="dxa"/>
        </w:tcPr>
        <w:p w14:paraId="309E950A" w14:textId="77777777" w:rsidR="00DF6021" w:rsidRPr="001E4E09" w:rsidRDefault="00DF6021" w:rsidP="00256040">
          <w:pPr>
            <w:pStyle w:val="Fuzeile"/>
          </w:pPr>
          <w:r w:rsidRPr="001E4E09">
            <w:t xml:space="preserve">Stellv. Vorsitzender: </w:t>
          </w:r>
          <w:r w:rsidR="004E30C9">
            <w:t>Achim Neyer</w:t>
          </w:r>
        </w:p>
      </w:tc>
      <w:tc>
        <w:tcPr>
          <w:tcW w:w="3827" w:type="dxa"/>
        </w:tcPr>
        <w:p w14:paraId="4EC86425" w14:textId="77777777" w:rsidR="00DF6021" w:rsidRPr="001E4E09" w:rsidRDefault="00DF6021" w:rsidP="00256040">
          <w:pPr>
            <w:pStyle w:val="Fuzeile"/>
          </w:pPr>
          <w:r w:rsidRPr="001E4E09">
            <w:t>Sitz</w:t>
          </w:r>
          <w:r w:rsidR="001E4E09">
            <w:t>:</w:t>
          </w:r>
          <w:r w:rsidRPr="001E4E09">
            <w:t xml:space="preserve"> Wetzlar </w:t>
          </w:r>
        </w:p>
      </w:tc>
      <w:tc>
        <w:tcPr>
          <w:tcW w:w="2993" w:type="dxa"/>
        </w:tcPr>
        <w:p w14:paraId="78B6AC2A" w14:textId="77777777" w:rsidR="00DF6021" w:rsidRPr="001E4E09" w:rsidRDefault="00DF6021" w:rsidP="00256040">
          <w:pPr>
            <w:pStyle w:val="Fuzeile"/>
          </w:pPr>
          <w:r w:rsidRPr="001E4E09">
            <w:t>IBAN</w:t>
          </w:r>
          <w:r w:rsidR="001E4E09">
            <w:t>:</w:t>
          </w:r>
          <w:r w:rsidRPr="001E4E09">
            <w:t xml:space="preserve"> DE69 5125 0000 0002 2217 48</w:t>
          </w:r>
        </w:p>
      </w:tc>
    </w:tr>
    <w:tr w:rsidR="0001630F" w:rsidRPr="001E4E09" w14:paraId="0AEAF03D" w14:textId="77777777" w:rsidTr="00383899">
      <w:tc>
        <w:tcPr>
          <w:tcW w:w="3119" w:type="dxa"/>
        </w:tcPr>
        <w:p w14:paraId="46ABCB9D" w14:textId="77777777" w:rsidR="00DF6021" w:rsidRPr="001E4E09" w:rsidRDefault="00DF6021" w:rsidP="00256040">
          <w:pPr>
            <w:pStyle w:val="Fuzeile"/>
          </w:pPr>
          <w:r w:rsidRPr="001E4E09">
            <w:t>Geschäftsführer: Reinhard Schaffert</w:t>
          </w:r>
        </w:p>
      </w:tc>
      <w:tc>
        <w:tcPr>
          <w:tcW w:w="3827" w:type="dxa"/>
        </w:tcPr>
        <w:p w14:paraId="47AF2665" w14:textId="77777777" w:rsidR="00DF6021" w:rsidRPr="001E4E09" w:rsidRDefault="00DF6021" w:rsidP="00256040">
          <w:pPr>
            <w:pStyle w:val="Fuzeile"/>
          </w:pPr>
          <w:r w:rsidRPr="001E4E09">
            <w:t>Steuernummer</w:t>
          </w:r>
          <w:r w:rsidR="001E4E09">
            <w:t>:</w:t>
          </w:r>
          <w:r w:rsidRPr="001E4E09">
            <w:t xml:space="preserve"> 020 224 00012</w:t>
          </w:r>
          <w:r w:rsidR="00383899">
            <w:t>; USt.-ID: 114 104 765</w:t>
          </w:r>
        </w:p>
      </w:tc>
      <w:tc>
        <w:tcPr>
          <w:tcW w:w="2993" w:type="dxa"/>
        </w:tcPr>
        <w:p w14:paraId="2560BACC" w14:textId="77777777" w:rsidR="00DF6021" w:rsidRPr="001E4E09" w:rsidRDefault="00DF6021" w:rsidP="00256040">
          <w:pPr>
            <w:pStyle w:val="Fuzeile"/>
          </w:pPr>
          <w:r w:rsidRPr="001E4E09">
            <w:t>BIC</w:t>
          </w:r>
          <w:r w:rsidR="001E4E09">
            <w:t>:</w:t>
          </w:r>
          <w:r w:rsidRPr="001E4E09">
            <w:t xml:space="preserve"> HELADEF1TSK</w:t>
          </w:r>
        </w:p>
      </w:tc>
    </w:tr>
  </w:tbl>
  <w:p w14:paraId="720F1C9D" w14:textId="77777777" w:rsidR="00D714DB" w:rsidRPr="001E4E09" w:rsidRDefault="00D714DB" w:rsidP="002560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45E0" w14:textId="77777777" w:rsidR="000568E3" w:rsidRDefault="000568E3" w:rsidP="0001630F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45AC75C7" w14:textId="77777777" w:rsidR="000568E3" w:rsidRDefault="000568E3" w:rsidP="0001630F">
      <w:r>
        <w:continuationSeparator/>
      </w:r>
    </w:p>
  </w:footnote>
  <w:footnote w:type="continuationNotice" w:id="1">
    <w:p w14:paraId="1F1757B8" w14:textId="77777777" w:rsidR="000568E3" w:rsidRDefault="000568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C0D4" w14:textId="77777777" w:rsidR="00516BE1" w:rsidRDefault="00516BE1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48A9" w14:textId="77777777" w:rsidR="00516BE1" w:rsidRDefault="00516BE1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954"/>
      <w:gridCol w:w="3684"/>
    </w:tblGrid>
    <w:tr w:rsidR="00516BE1" w:rsidRPr="001E4E09" w14:paraId="4558973E" w14:textId="77777777" w:rsidTr="00516BE1">
      <w:trPr>
        <w:trHeight w:val="1024"/>
      </w:trPr>
      <w:tc>
        <w:tcPr>
          <w:tcW w:w="5954" w:type="dxa"/>
          <w:vAlign w:val="center"/>
        </w:tcPr>
        <w:p w14:paraId="6DAE1348" w14:textId="77777777" w:rsidR="00516BE1" w:rsidRPr="00516BE1" w:rsidRDefault="00516BE1" w:rsidP="00516BE1">
          <w:pPr>
            <w:pStyle w:val="Titel"/>
            <w:framePr w:hSpace="0" w:wrap="auto" w:vAnchor="margin" w:yAlign="inline"/>
          </w:pPr>
          <w:r>
            <w:t>Pressemitteilung</w:t>
          </w:r>
        </w:p>
      </w:tc>
      <w:tc>
        <w:tcPr>
          <w:tcW w:w="3684" w:type="dxa"/>
          <w:vAlign w:val="center"/>
        </w:tcPr>
        <w:p w14:paraId="4A269616" w14:textId="77777777" w:rsidR="00516BE1" w:rsidRPr="001E4E09" w:rsidRDefault="00516BE1" w:rsidP="00516BE1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75972334" wp14:editId="422E7428">
                <wp:extent cx="2156400" cy="54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AF09C6" w14:textId="77777777" w:rsidR="00D714DB" w:rsidRPr="00516BE1" w:rsidRDefault="00D714DB" w:rsidP="00516BE1">
    <w:pPr>
      <w:pStyle w:val="Kopfzeile"/>
      <w:framePr w:hSpace="0" w:wrap="auto" w:vAnchor="margin" w:yAlign="inline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E7B5E"/>
    <w:multiLevelType w:val="hybridMultilevel"/>
    <w:tmpl w:val="0F523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4"/>
  </w:num>
  <w:num w:numId="3">
    <w:abstractNumId w:val="25"/>
  </w:num>
  <w:num w:numId="4">
    <w:abstractNumId w:val="32"/>
  </w:num>
  <w:num w:numId="5">
    <w:abstractNumId w:val="8"/>
  </w:num>
  <w:num w:numId="6">
    <w:abstractNumId w:val="22"/>
  </w:num>
  <w:num w:numId="7">
    <w:abstractNumId w:val="19"/>
  </w:num>
  <w:num w:numId="8">
    <w:abstractNumId w:val="18"/>
  </w:num>
  <w:num w:numId="9">
    <w:abstractNumId w:val="14"/>
  </w:num>
  <w:num w:numId="10">
    <w:abstractNumId w:val="36"/>
  </w:num>
  <w:num w:numId="11">
    <w:abstractNumId w:val="0"/>
  </w:num>
  <w:num w:numId="12">
    <w:abstractNumId w:val="4"/>
  </w:num>
  <w:num w:numId="13">
    <w:abstractNumId w:val="15"/>
  </w:num>
  <w:num w:numId="14">
    <w:abstractNumId w:val="10"/>
  </w:num>
  <w:num w:numId="15">
    <w:abstractNumId w:val="27"/>
  </w:num>
  <w:num w:numId="16">
    <w:abstractNumId w:val="12"/>
  </w:num>
  <w:num w:numId="17">
    <w:abstractNumId w:val="2"/>
  </w:num>
  <w:num w:numId="18">
    <w:abstractNumId w:val="35"/>
  </w:num>
  <w:num w:numId="19">
    <w:abstractNumId w:val="38"/>
  </w:num>
  <w:num w:numId="20">
    <w:abstractNumId w:val="29"/>
  </w:num>
  <w:num w:numId="21">
    <w:abstractNumId w:val="30"/>
  </w:num>
  <w:num w:numId="22">
    <w:abstractNumId w:val="3"/>
  </w:num>
  <w:num w:numId="23">
    <w:abstractNumId w:val="6"/>
  </w:num>
  <w:num w:numId="24">
    <w:abstractNumId w:val="13"/>
  </w:num>
  <w:num w:numId="25">
    <w:abstractNumId w:val="37"/>
  </w:num>
  <w:num w:numId="26">
    <w:abstractNumId w:val="11"/>
  </w:num>
  <w:num w:numId="27">
    <w:abstractNumId w:val="26"/>
  </w:num>
  <w:num w:numId="28">
    <w:abstractNumId w:val="20"/>
  </w:num>
  <w:num w:numId="29">
    <w:abstractNumId w:val="16"/>
  </w:num>
  <w:num w:numId="30">
    <w:abstractNumId w:val="1"/>
  </w:num>
  <w:num w:numId="31">
    <w:abstractNumId w:val="5"/>
  </w:num>
  <w:num w:numId="32">
    <w:abstractNumId w:val="33"/>
  </w:num>
  <w:num w:numId="33">
    <w:abstractNumId w:val="28"/>
  </w:num>
  <w:num w:numId="34">
    <w:abstractNumId w:val="17"/>
  </w:num>
  <w:num w:numId="35">
    <w:abstractNumId w:val="31"/>
  </w:num>
  <w:num w:numId="36">
    <w:abstractNumId w:val="21"/>
  </w:num>
  <w:num w:numId="37">
    <w:abstractNumId w:val="9"/>
  </w:num>
  <w:num w:numId="38">
    <w:abstractNumId w:val="2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C10F7A"/>
    <w:rsid w:val="00004FBC"/>
    <w:rsid w:val="0001630F"/>
    <w:rsid w:val="000163A9"/>
    <w:rsid w:val="00022573"/>
    <w:rsid w:val="000233AF"/>
    <w:rsid w:val="00030DDD"/>
    <w:rsid w:val="00034971"/>
    <w:rsid w:val="00040A6C"/>
    <w:rsid w:val="0004568E"/>
    <w:rsid w:val="000461CB"/>
    <w:rsid w:val="00050517"/>
    <w:rsid w:val="0005098A"/>
    <w:rsid w:val="00051072"/>
    <w:rsid w:val="0005244F"/>
    <w:rsid w:val="0005401C"/>
    <w:rsid w:val="00055F00"/>
    <w:rsid w:val="000568E3"/>
    <w:rsid w:val="0006159A"/>
    <w:rsid w:val="00061A36"/>
    <w:rsid w:val="00062DE3"/>
    <w:rsid w:val="00070BD7"/>
    <w:rsid w:val="00077F26"/>
    <w:rsid w:val="00083610"/>
    <w:rsid w:val="00084F4E"/>
    <w:rsid w:val="00085194"/>
    <w:rsid w:val="000879D4"/>
    <w:rsid w:val="000909D2"/>
    <w:rsid w:val="00090B11"/>
    <w:rsid w:val="00092901"/>
    <w:rsid w:val="00092B93"/>
    <w:rsid w:val="00092CE8"/>
    <w:rsid w:val="000A144E"/>
    <w:rsid w:val="000A2C89"/>
    <w:rsid w:val="000A36E6"/>
    <w:rsid w:val="000A41A8"/>
    <w:rsid w:val="000A4BAE"/>
    <w:rsid w:val="000A6003"/>
    <w:rsid w:val="000A6447"/>
    <w:rsid w:val="000A6AD4"/>
    <w:rsid w:val="000B081D"/>
    <w:rsid w:val="000B23B4"/>
    <w:rsid w:val="000B66CF"/>
    <w:rsid w:val="000C06EF"/>
    <w:rsid w:val="000C15B4"/>
    <w:rsid w:val="000D325C"/>
    <w:rsid w:val="000D64A2"/>
    <w:rsid w:val="000D76F6"/>
    <w:rsid w:val="000E2951"/>
    <w:rsid w:val="000E4A66"/>
    <w:rsid w:val="000E709B"/>
    <w:rsid w:val="000F1F38"/>
    <w:rsid w:val="000F2B3D"/>
    <w:rsid w:val="00102E88"/>
    <w:rsid w:val="00110595"/>
    <w:rsid w:val="00112131"/>
    <w:rsid w:val="00113C5C"/>
    <w:rsid w:val="00120200"/>
    <w:rsid w:val="001230F8"/>
    <w:rsid w:val="00125CAE"/>
    <w:rsid w:val="0013475B"/>
    <w:rsid w:val="00135A27"/>
    <w:rsid w:val="00136BE3"/>
    <w:rsid w:val="0014098A"/>
    <w:rsid w:val="0014424F"/>
    <w:rsid w:val="001478BC"/>
    <w:rsid w:val="0015716A"/>
    <w:rsid w:val="00160C87"/>
    <w:rsid w:val="00164A1B"/>
    <w:rsid w:val="00166785"/>
    <w:rsid w:val="00173063"/>
    <w:rsid w:val="00180A63"/>
    <w:rsid w:val="00183799"/>
    <w:rsid w:val="00183B00"/>
    <w:rsid w:val="00187DBF"/>
    <w:rsid w:val="0019010E"/>
    <w:rsid w:val="0019338F"/>
    <w:rsid w:val="00196D0A"/>
    <w:rsid w:val="001A0094"/>
    <w:rsid w:val="001A1D1D"/>
    <w:rsid w:val="001A659C"/>
    <w:rsid w:val="001A6F76"/>
    <w:rsid w:val="001B0889"/>
    <w:rsid w:val="001B4ADD"/>
    <w:rsid w:val="001B5A27"/>
    <w:rsid w:val="001B5E67"/>
    <w:rsid w:val="001B6A44"/>
    <w:rsid w:val="001C3BB5"/>
    <w:rsid w:val="001C7AB6"/>
    <w:rsid w:val="001C7F3C"/>
    <w:rsid w:val="001D4D3E"/>
    <w:rsid w:val="001D4DE0"/>
    <w:rsid w:val="001E30B4"/>
    <w:rsid w:val="001E4E09"/>
    <w:rsid w:val="001F2709"/>
    <w:rsid w:val="001F573E"/>
    <w:rsid w:val="001F6491"/>
    <w:rsid w:val="00200B2F"/>
    <w:rsid w:val="0021107D"/>
    <w:rsid w:val="00213963"/>
    <w:rsid w:val="00213CB9"/>
    <w:rsid w:val="00213E7A"/>
    <w:rsid w:val="00224FC4"/>
    <w:rsid w:val="00225F1F"/>
    <w:rsid w:val="00230EC4"/>
    <w:rsid w:val="0024039C"/>
    <w:rsid w:val="00242FCE"/>
    <w:rsid w:val="00244B56"/>
    <w:rsid w:val="00252186"/>
    <w:rsid w:val="00253419"/>
    <w:rsid w:val="002543DE"/>
    <w:rsid w:val="00255FEA"/>
    <w:rsid w:val="00256040"/>
    <w:rsid w:val="00256FF0"/>
    <w:rsid w:val="00257BAC"/>
    <w:rsid w:val="00262128"/>
    <w:rsid w:val="0026223F"/>
    <w:rsid w:val="0026436D"/>
    <w:rsid w:val="00264543"/>
    <w:rsid w:val="00267F0D"/>
    <w:rsid w:val="002701E6"/>
    <w:rsid w:val="00273315"/>
    <w:rsid w:val="002766FD"/>
    <w:rsid w:val="0027685A"/>
    <w:rsid w:val="00282542"/>
    <w:rsid w:val="00287946"/>
    <w:rsid w:val="002902F3"/>
    <w:rsid w:val="00293C00"/>
    <w:rsid w:val="002A234D"/>
    <w:rsid w:val="002A29C7"/>
    <w:rsid w:val="002B04E3"/>
    <w:rsid w:val="002B2007"/>
    <w:rsid w:val="002B3366"/>
    <w:rsid w:val="002B6C2A"/>
    <w:rsid w:val="002C0BC4"/>
    <w:rsid w:val="002D3120"/>
    <w:rsid w:val="002D3F83"/>
    <w:rsid w:val="002E1E27"/>
    <w:rsid w:val="002E5569"/>
    <w:rsid w:val="002E6DE3"/>
    <w:rsid w:val="002F1C9E"/>
    <w:rsid w:val="002F3A2E"/>
    <w:rsid w:val="002F564E"/>
    <w:rsid w:val="002F6A9E"/>
    <w:rsid w:val="002F6B39"/>
    <w:rsid w:val="003074EA"/>
    <w:rsid w:val="003131CA"/>
    <w:rsid w:val="00313A99"/>
    <w:rsid w:val="00314291"/>
    <w:rsid w:val="00323EA3"/>
    <w:rsid w:val="003303CA"/>
    <w:rsid w:val="003334A5"/>
    <w:rsid w:val="003334CA"/>
    <w:rsid w:val="00333C8B"/>
    <w:rsid w:val="003374B2"/>
    <w:rsid w:val="0034066D"/>
    <w:rsid w:val="00344A4A"/>
    <w:rsid w:val="00346CE2"/>
    <w:rsid w:val="00347695"/>
    <w:rsid w:val="00362CC9"/>
    <w:rsid w:val="00365C3D"/>
    <w:rsid w:val="00371CCE"/>
    <w:rsid w:val="00374C25"/>
    <w:rsid w:val="00376D09"/>
    <w:rsid w:val="00383899"/>
    <w:rsid w:val="003844B6"/>
    <w:rsid w:val="0038580C"/>
    <w:rsid w:val="00394BBA"/>
    <w:rsid w:val="00395DDB"/>
    <w:rsid w:val="003973F5"/>
    <w:rsid w:val="003B05EF"/>
    <w:rsid w:val="003B6302"/>
    <w:rsid w:val="003C259A"/>
    <w:rsid w:val="003C2F25"/>
    <w:rsid w:val="003C7CBE"/>
    <w:rsid w:val="003D39B2"/>
    <w:rsid w:val="003D3C3E"/>
    <w:rsid w:val="003D40EE"/>
    <w:rsid w:val="003D6BF9"/>
    <w:rsid w:val="003E01B6"/>
    <w:rsid w:val="003E48D6"/>
    <w:rsid w:val="003E60BC"/>
    <w:rsid w:val="003E6250"/>
    <w:rsid w:val="003E7CFE"/>
    <w:rsid w:val="003F3555"/>
    <w:rsid w:val="003F3A1E"/>
    <w:rsid w:val="003F4A4C"/>
    <w:rsid w:val="003F5315"/>
    <w:rsid w:val="003F651D"/>
    <w:rsid w:val="003F73EA"/>
    <w:rsid w:val="00401F98"/>
    <w:rsid w:val="004026BD"/>
    <w:rsid w:val="004043EA"/>
    <w:rsid w:val="00404E84"/>
    <w:rsid w:val="0041465A"/>
    <w:rsid w:val="00414766"/>
    <w:rsid w:val="00421EE3"/>
    <w:rsid w:val="004236D0"/>
    <w:rsid w:val="00425AE8"/>
    <w:rsid w:val="00430186"/>
    <w:rsid w:val="00431B96"/>
    <w:rsid w:val="0043573B"/>
    <w:rsid w:val="0044179B"/>
    <w:rsid w:val="004475DC"/>
    <w:rsid w:val="00456A39"/>
    <w:rsid w:val="0046082A"/>
    <w:rsid w:val="00462A19"/>
    <w:rsid w:val="00464EE1"/>
    <w:rsid w:val="004674DE"/>
    <w:rsid w:val="00475777"/>
    <w:rsid w:val="00475B80"/>
    <w:rsid w:val="0047676F"/>
    <w:rsid w:val="00477009"/>
    <w:rsid w:val="0047723A"/>
    <w:rsid w:val="004809AE"/>
    <w:rsid w:val="0048161E"/>
    <w:rsid w:val="00485566"/>
    <w:rsid w:val="00491208"/>
    <w:rsid w:val="00493C43"/>
    <w:rsid w:val="00494B88"/>
    <w:rsid w:val="004A1D3C"/>
    <w:rsid w:val="004A2A21"/>
    <w:rsid w:val="004A4B3B"/>
    <w:rsid w:val="004B027C"/>
    <w:rsid w:val="004B272E"/>
    <w:rsid w:val="004B56C8"/>
    <w:rsid w:val="004B6ABC"/>
    <w:rsid w:val="004B7871"/>
    <w:rsid w:val="004C0FE9"/>
    <w:rsid w:val="004C7038"/>
    <w:rsid w:val="004C7EDC"/>
    <w:rsid w:val="004D08D6"/>
    <w:rsid w:val="004D112C"/>
    <w:rsid w:val="004D2941"/>
    <w:rsid w:val="004D2E70"/>
    <w:rsid w:val="004D52C6"/>
    <w:rsid w:val="004D561B"/>
    <w:rsid w:val="004E1ADA"/>
    <w:rsid w:val="004E22C9"/>
    <w:rsid w:val="004E30C9"/>
    <w:rsid w:val="004E4013"/>
    <w:rsid w:val="004E4D1B"/>
    <w:rsid w:val="004E50DA"/>
    <w:rsid w:val="004E727B"/>
    <w:rsid w:val="004F019E"/>
    <w:rsid w:val="004F1576"/>
    <w:rsid w:val="004F45B3"/>
    <w:rsid w:val="0050001B"/>
    <w:rsid w:val="005050D1"/>
    <w:rsid w:val="00505DC0"/>
    <w:rsid w:val="0050693B"/>
    <w:rsid w:val="0051274F"/>
    <w:rsid w:val="0051325A"/>
    <w:rsid w:val="00513B5D"/>
    <w:rsid w:val="00513B5E"/>
    <w:rsid w:val="00514052"/>
    <w:rsid w:val="00516BE1"/>
    <w:rsid w:val="005200CF"/>
    <w:rsid w:val="005214F0"/>
    <w:rsid w:val="005233FE"/>
    <w:rsid w:val="00525944"/>
    <w:rsid w:val="00527419"/>
    <w:rsid w:val="0052757B"/>
    <w:rsid w:val="00530599"/>
    <w:rsid w:val="00531897"/>
    <w:rsid w:val="0053282D"/>
    <w:rsid w:val="005344B7"/>
    <w:rsid w:val="00535533"/>
    <w:rsid w:val="00536C40"/>
    <w:rsid w:val="00537C1B"/>
    <w:rsid w:val="00541031"/>
    <w:rsid w:val="00546243"/>
    <w:rsid w:val="00546DE0"/>
    <w:rsid w:val="00550851"/>
    <w:rsid w:val="00551370"/>
    <w:rsid w:val="00551F87"/>
    <w:rsid w:val="00552AD2"/>
    <w:rsid w:val="0055486B"/>
    <w:rsid w:val="00556FB2"/>
    <w:rsid w:val="00563247"/>
    <w:rsid w:val="00563866"/>
    <w:rsid w:val="005651DC"/>
    <w:rsid w:val="00571BE1"/>
    <w:rsid w:val="00573258"/>
    <w:rsid w:val="00587F52"/>
    <w:rsid w:val="00592DF1"/>
    <w:rsid w:val="00593159"/>
    <w:rsid w:val="0059485A"/>
    <w:rsid w:val="00596A24"/>
    <w:rsid w:val="005A2A05"/>
    <w:rsid w:val="005A4154"/>
    <w:rsid w:val="005A7B77"/>
    <w:rsid w:val="005B2DF7"/>
    <w:rsid w:val="005B4C6C"/>
    <w:rsid w:val="005B64BD"/>
    <w:rsid w:val="005C23B2"/>
    <w:rsid w:val="005C397C"/>
    <w:rsid w:val="005C5378"/>
    <w:rsid w:val="005C5F00"/>
    <w:rsid w:val="005D2EC7"/>
    <w:rsid w:val="005D3DD1"/>
    <w:rsid w:val="005E20BB"/>
    <w:rsid w:val="005E3297"/>
    <w:rsid w:val="005E551C"/>
    <w:rsid w:val="005E5E8E"/>
    <w:rsid w:val="005E6D13"/>
    <w:rsid w:val="005F2F4A"/>
    <w:rsid w:val="005F4F00"/>
    <w:rsid w:val="00603F7D"/>
    <w:rsid w:val="00603FB4"/>
    <w:rsid w:val="006043DC"/>
    <w:rsid w:val="00604677"/>
    <w:rsid w:val="006061C1"/>
    <w:rsid w:val="00607856"/>
    <w:rsid w:val="00612E60"/>
    <w:rsid w:val="0061396A"/>
    <w:rsid w:val="00616336"/>
    <w:rsid w:val="00621F36"/>
    <w:rsid w:val="00627DD0"/>
    <w:rsid w:val="006315A9"/>
    <w:rsid w:val="00631F97"/>
    <w:rsid w:val="00645B77"/>
    <w:rsid w:val="00654FC8"/>
    <w:rsid w:val="00657788"/>
    <w:rsid w:val="0066025C"/>
    <w:rsid w:val="00662718"/>
    <w:rsid w:val="00667EDD"/>
    <w:rsid w:val="00672DFA"/>
    <w:rsid w:val="00673E50"/>
    <w:rsid w:val="006758F6"/>
    <w:rsid w:val="00681B5A"/>
    <w:rsid w:val="006827EC"/>
    <w:rsid w:val="0068548D"/>
    <w:rsid w:val="00686626"/>
    <w:rsid w:val="00695B02"/>
    <w:rsid w:val="006A21E2"/>
    <w:rsid w:val="006A5E10"/>
    <w:rsid w:val="006A6CD0"/>
    <w:rsid w:val="006A6F73"/>
    <w:rsid w:val="006B317F"/>
    <w:rsid w:val="006B32E0"/>
    <w:rsid w:val="006B4FF7"/>
    <w:rsid w:val="006B52B2"/>
    <w:rsid w:val="006B6E92"/>
    <w:rsid w:val="006C49E8"/>
    <w:rsid w:val="006E0630"/>
    <w:rsid w:val="006E373F"/>
    <w:rsid w:val="006E4859"/>
    <w:rsid w:val="006F2AD2"/>
    <w:rsid w:val="006F2AFB"/>
    <w:rsid w:val="006F6585"/>
    <w:rsid w:val="00704AE0"/>
    <w:rsid w:val="00714971"/>
    <w:rsid w:val="00717174"/>
    <w:rsid w:val="00725D0B"/>
    <w:rsid w:val="00726E4C"/>
    <w:rsid w:val="00731686"/>
    <w:rsid w:val="0073500B"/>
    <w:rsid w:val="0074265F"/>
    <w:rsid w:val="00743594"/>
    <w:rsid w:val="007437F7"/>
    <w:rsid w:val="00743AB0"/>
    <w:rsid w:val="00755560"/>
    <w:rsid w:val="007571D4"/>
    <w:rsid w:val="00762B4E"/>
    <w:rsid w:val="007639C9"/>
    <w:rsid w:val="00767E77"/>
    <w:rsid w:val="00771554"/>
    <w:rsid w:val="00772601"/>
    <w:rsid w:val="00780D7E"/>
    <w:rsid w:val="00781B53"/>
    <w:rsid w:val="00784B6F"/>
    <w:rsid w:val="00787B84"/>
    <w:rsid w:val="0079297F"/>
    <w:rsid w:val="007939C9"/>
    <w:rsid w:val="00796CA4"/>
    <w:rsid w:val="00797746"/>
    <w:rsid w:val="007A2B38"/>
    <w:rsid w:val="007A2FB5"/>
    <w:rsid w:val="007A75A6"/>
    <w:rsid w:val="007B0FA2"/>
    <w:rsid w:val="007B5AA2"/>
    <w:rsid w:val="007B7619"/>
    <w:rsid w:val="007C08CF"/>
    <w:rsid w:val="007C1112"/>
    <w:rsid w:val="007D4C2F"/>
    <w:rsid w:val="007E4E83"/>
    <w:rsid w:val="007E65B8"/>
    <w:rsid w:val="007F003D"/>
    <w:rsid w:val="007F141D"/>
    <w:rsid w:val="007F35D8"/>
    <w:rsid w:val="007F4497"/>
    <w:rsid w:val="008002A3"/>
    <w:rsid w:val="00805AC7"/>
    <w:rsid w:val="008104E3"/>
    <w:rsid w:val="00815664"/>
    <w:rsid w:val="00821120"/>
    <w:rsid w:val="00821BDF"/>
    <w:rsid w:val="008262A8"/>
    <w:rsid w:val="008307EE"/>
    <w:rsid w:val="0083132B"/>
    <w:rsid w:val="00834036"/>
    <w:rsid w:val="00834510"/>
    <w:rsid w:val="00837D15"/>
    <w:rsid w:val="00845712"/>
    <w:rsid w:val="00853BD6"/>
    <w:rsid w:val="00864F33"/>
    <w:rsid w:val="00864F90"/>
    <w:rsid w:val="00866138"/>
    <w:rsid w:val="00873ED5"/>
    <w:rsid w:val="00876039"/>
    <w:rsid w:val="00877129"/>
    <w:rsid w:val="00881595"/>
    <w:rsid w:val="00883194"/>
    <w:rsid w:val="00885170"/>
    <w:rsid w:val="00886F59"/>
    <w:rsid w:val="00887E75"/>
    <w:rsid w:val="00894411"/>
    <w:rsid w:val="00894540"/>
    <w:rsid w:val="00894D53"/>
    <w:rsid w:val="00897929"/>
    <w:rsid w:val="008B1EBE"/>
    <w:rsid w:val="008B420D"/>
    <w:rsid w:val="008B5D49"/>
    <w:rsid w:val="008B7CB3"/>
    <w:rsid w:val="008C0E11"/>
    <w:rsid w:val="008C2E0E"/>
    <w:rsid w:val="008C3740"/>
    <w:rsid w:val="008C389C"/>
    <w:rsid w:val="008C53BC"/>
    <w:rsid w:val="008D3E71"/>
    <w:rsid w:val="008D5B42"/>
    <w:rsid w:val="008E091C"/>
    <w:rsid w:val="008E54BD"/>
    <w:rsid w:val="008E703C"/>
    <w:rsid w:val="008E7A47"/>
    <w:rsid w:val="008F53CE"/>
    <w:rsid w:val="00902439"/>
    <w:rsid w:val="009065E3"/>
    <w:rsid w:val="00913A23"/>
    <w:rsid w:val="00915AE0"/>
    <w:rsid w:val="009164C2"/>
    <w:rsid w:val="009221B0"/>
    <w:rsid w:val="0093006E"/>
    <w:rsid w:val="00933F03"/>
    <w:rsid w:val="0093554A"/>
    <w:rsid w:val="00937F38"/>
    <w:rsid w:val="009416D1"/>
    <w:rsid w:val="00945B97"/>
    <w:rsid w:val="00952790"/>
    <w:rsid w:val="00953F2D"/>
    <w:rsid w:val="00956A81"/>
    <w:rsid w:val="00956FFF"/>
    <w:rsid w:val="009600A9"/>
    <w:rsid w:val="0096112F"/>
    <w:rsid w:val="009636A3"/>
    <w:rsid w:val="0096728E"/>
    <w:rsid w:val="00967CD5"/>
    <w:rsid w:val="00972642"/>
    <w:rsid w:val="009735DA"/>
    <w:rsid w:val="00973667"/>
    <w:rsid w:val="00977D5C"/>
    <w:rsid w:val="00983810"/>
    <w:rsid w:val="00991023"/>
    <w:rsid w:val="00993CEE"/>
    <w:rsid w:val="009967A3"/>
    <w:rsid w:val="009A2A4A"/>
    <w:rsid w:val="009A358C"/>
    <w:rsid w:val="009B3B82"/>
    <w:rsid w:val="009B62F5"/>
    <w:rsid w:val="009B6525"/>
    <w:rsid w:val="009B667B"/>
    <w:rsid w:val="009C00B8"/>
    <w:rsid w:val="009C1A06"/>
    <w:rsid w:val="009D0EF9"/>
    <w:rsid w:val="009D362B"/>
    <w:rsid w:val="009D3D6B"/>
    <w:rsid w:val="009D4DAF"/>
    <w:rsid w:val="009E3333"/>
    <w:rsid w:val="009E6E66"/>
    <w:rsid w:val="009E6EFD"/>
    <w:rsid w:val="009E7C4D"/>
    <w:rsid w:val="009F0F73"/>
    <w:rsid w:val="009F3E35"/>
    <w:rsid w:val="00A0146D"/>
    <w:rsid w:val="00A03206"/>
    <w:rsid w:val="00A05DFB"/>
    <w:rsid w:val="00A07F72"/>
    <w:rsid w:val="00A11BF1"/>
    <w:rsid w:val="00A11EFF"/>
    <w:rsid w:val="00A14F97"/>
    <w:rsid w:val="00A17812"/>
    <w:rsid w:val="00A203FC"/>
    <w:rsid w:val="00A22CCD"/>
    <w:rsid w:val="00A22D5C"/>
    <w:rsid w:val="00A27EC8"/>
    <w:rsid w:val="00A312BD"/>
    <w:rsid w:val="00A34664"/>
    <w:rsid w:val="00A4233F"/>
    <w:rsid w:val="00A42FDB"/>
    <w:rsid w:val="00A4621C"/>
    <w:rsid w:val="00A47797"/>
    <w:rsid w:val="00A50942"/>
    <w:rsid w:val="00A53511"/>
    <w:rsid w:val="00A53FA2"/>
    <w:rsid w:val="00A54F4E"/>
    <w:rsid w:val="00A55F4C"/>
    <w:rsid w:val="00A56130"/>
    <w:rsid w:val="00A60AE7"/>
    <w:rsid w:val="00A6161B"/>
    <w:rsid w:val="00A61E26"/>
    <w:rsid w:val="00A757C4"/>
    <w:rsid w:val="00A7646C"/>
    <w:rsid w:val="00A766FA"/>
    <w:rsid w:val="00A81826"/>
    <w:rsid w:val="00A857FD"/>
    <w:rsid w:val="00A85A45"/>
    <w:rsid w:val="00A87A81"/>
    <w:rsid w:val="00AA5930"/>
    <w:rsid w:val="00AB1DFE"/>
    <w:rsid w:val="00AB3E05"/>
    <w:rsid w:val="00AC6031"/>
    <w:rsid w:val="00AC6AF2"/>
    <w:rsid w:val="00AC774A"/>
    <w:rsid w:val="00AD0362"/>
    <w:rsid w:val="00AD7091"/>
    <w:rsid w:val="00AE1B31"/>
    <w:rsid w:val="00AE235C"/>
    <w:rsid w:val="00AE32BC"/>
    <w:rsid w:val="00AE3FA2"/>
    <w:rsid w:val="00AE72F8"/>
    <w:rsid w:val="00AF1CFD"/>
    <w:rsid w:val="00AF4055"/>
    <w:rsid w:val="00B00B95"/>
    <w:rsid w:val="00B04AFE"/>
    <w:rsid w:val="00B06AE1"/>
    <w:rsid w:val="00B10B0D"/>
    <w:rsid w:val="00B12A4F"/>
    <w:rsid w:val="00B159E0"/>
    <w:rsid w:val="00B1600E"/>
    <w:rsid w:val="00B17C0C"/>
    <w:rsid w:val="00B20197"/>
    <w:rsid w:val="00B22CC1"/>
    <w:rsid w:val="00B30AB5"/>
    <w:rsid w:val="00B34E09"/>
    <w:rsid w:val="00B41AD1"/>
    <w:rsid w:val="00B43040"/>
    <w:rsid w:val="00B501F2"/>
    <w:rsid w:val="00B51ACC"/>
    <w:rsid w:val="00B557EF"/>
    <w:rsid w:val="00B639B8"/>
    <w:rsid w:val="00B64E76"/>
    <w:rsid w:val="00B650B9"/>
    <w:rsid w:val="00B750DA"/>
    <w:rsid w:val="00B754A7"/>
    <w:rsid w:val="00B76132"/>
    <w:rsid w:val="00B7631E"/>
    <w:rsid w:val="00B76921"/>
    <w:rsid w:val="00B8227D"/>
    <w:rsid w:val="00B82A8C"/>
    <w:rsid w:val="00B82D4A"/>
    <w:rsid w:val="00B8418F"/>
    <w:rsid w:val="00B85D8F"/>
    <w:rsid w:val="00B87416"/>
    <w:rsid w:val="00B87453"/>
    <w:rsid w:val="00B900A2"/>
    <w:rsid w:val="00BA07AC"/>
    <w:rsid w:val="00BA29EF"/>
    <w:rsid w:val="00BA45A0"/>
    <w:rsid w:val="00BA5365"/>
    <w:rsid w:val="00BB0C7B"/>
    <w:rsid w:val="00BB34F8"/>
    <w:rsid w:val="00BC62FB"/>
    <w:rsid w:val="00BC7452"/>
    <w:rsid w:val="00BD47FC"/>
    <w:rsid w:val="00BE1C83"/>
    <w:rsid w:val="00BF336B"/>
    <w:rsid w:val="00BF5798"/>
    <w:rsid w:val="00BF752F"/>
    <w:rsid w:val="00C00BA2"/>
    <w:rsid w:val="00C020B1"/>
    <w:rsid w:val="00C056FE"/>
    <w:rsid w:val="00C05DA0"/>
    <w:rsid w:val="00C10F7A"/>
    <w:rsid w:val="00C1251A"/>
    <w:rsid w:val="00C13878"/>
    <w:rsid w:val="00C22592"/>
    <w:rsid w:val="00C27E01"/>
    <w:rsid w:val="00C30BE8"/>
    <w:rsid w:val="00C368E2"/>
    <w:rsid w:val="00C418CA"/>
    <w:rsid w:val="00C459B0"/>
    <w:rsid w:val="00C45DB3"/>
    <w:rsid w:val="00C47EC1"/>
    <w:rsid w:val="00C64624"/>
    <w:rsid w:val="00C65F4E"/>
    <w:rsid w:val="00C7278E"/>
    <w:rsid w:val="00C73E51"/>
    <w:rsid w:val="00C75B74"/>
    <w:rsid w:val="00C76C9C"/>
    <w:rsid w:val="00C80D15"/>
    <w:rsid w:val="00C81233"/>
    <w:rsid w:val="00C90AC9"/>
    <w:rsid w:val="00C91409"/>
    <w:rsid w:val="00C91AA1"/>
    <w:rsid w:val="00C92FB2"/>
    <w:rsid w:val="00C94FAF"/>
    <w:rsid w:val="00C950B8"/>
    <w:rsid w:val="00C967C3"/>
    <w:rsid w:val="00CA079A"/>
    <w:rsid w:val="00CB170C"/>
    <w:rsid w:val="00CB1B81"/>
    <w:rsid w:val="00CB501B"/>
    <w:rsid w:val="00CB66EE"/>
    <w:rsid w:val="00CB7FB0"/>
    <w:rsid w:val="00CC038B"/>
    <w:rsid w:val="00CC548A"/>
    <w:rsid w:val="00CD40AA"/>
    <w:rsid w:val="00CD4D44"/>
    <w:rsid w:val="00CD592A"/>
    <w:rsid w:val="00CF301C"/>
    <w:rsid w:val="00CF3BC0"/>
    <w:rsid w:val="00CF3C6C"/>
    <w:rsid w:val="00D00218"/>
    <w:rsid w:val="00D019DB"/>
    <w:rsid w:val="00D10388"/>
    <w:rsid w:val="00D1145C"/>
    <w:rsid w:val="00D131C1"/>
    <w:rsid w:val="00D16D01"/>
    <w:rsid w:val="00D224F1"/>
    <w:rsid w:val="00D226D7"/>
    <w:rsid w:val="00D262DF"/>
    <w:rsid w:val="00D356A5"/>
    <w:rsid w:val="00D367FB"/>
    <w:rsid w:val="00D37A5D"/>
    <w:rsid w:val="00D40B5E"/>
    <w:rsid w:val="00D41744"/>
    <w:rsid w:val="00D51CAF"/>
    <w:rsid w:val="00D52C73"/>
    <w:rsid w:val="00D542CE"/>
    <w:rsid w:val="00D57D94"/>
    <w:rsid w:val="00D617A5"/>
    <w:rsid w:val="00D639A9"/>
    <w:rsid w:val="00D6701C"/>
    <w:rsid w:val="00D714DB"/>
    <w:rsid w:val="00D81B4E"/>
    <w:rsid w:val="00D84AE0"/>
    <w:rsid w:val="00D84E69"/>
    <w:rsid w:val="00D84FE6"/>
    <w:rsid w:val="00D8738E"/>
    <w:rsid w:val="00D87937"/>
    <w:rsid w:val="00D91B08"/>
    <w:rsid w:val="00DB11E3"/>
    <w:rsid w:val="00DB23C5"/>
    <w:rsid w:val="00DB264E"/>
    <w:rsid w:val="00DC2BC0"/>
    <w:rsid w:val="00DC4B25"/>
    <w:rsid w:val="00DC4FC0"/>
    <w:rsid w:val="00DC5B05"/>
    <w:rsid w:val="00DD0211"/>
    <w:rsid w:val="00DD64DC"/>
    <w:rsid w:val="00DD6B84"/>
    <w:rsid w:val="00DE0217"/>
    <w:rsid w:val="00DE07D7"/>
    <w:rsid w:val="00DE3A2B"/>
    <w:rsid w:val="00DE7677"/>
    <w:rsid w:val="00DF1B31"/>
    <w:rsid w:val="00DF3614"/>
    <w:rsid w:val="00DF40E8"/>
    <w:rsid w:val="00DF4A3F"/>
    <w:rsid w:val="00DF6021"/>
    <w:rsid w:val="00DF65C8"/>
    <w:rsid w:val="00DF7697"/>
    <w:rsid w:val="00E05FA9"/>
    <w:rsid w:val="00E078C2"/>
    <w:rsid w:val="00E10C15"/>
    <w:rsid w:val="00E10C33"/>
    <w:rsid w:val="00E1293D"/>
    <w:rsid w:val="00E12F8D"/>
    <w:rsid w:val="00E17818"/>
    <w:rsid w:val="00E210EF"/>
    <w:rsid w:val="00E25A92"/>
    <w:rsid w:val="00E26134"/>
    <w:rsid w:val="00E3279D"/>
    <w:rsid w:val="00E372DD"/>
    <w:rsid w:val="00E40F3D"/>
    <w:rsid w:val="00E41453"/>
    <w:rsid w:val="00E45BF2"/>
    <w:rsid w:val="00E523CC"/>
    <w:rsid w:val="00E53B53"/>
    <w:rsid w:val="00E55082"/>
    <w:rsid w:val="00E55811"/>
    <w:rsid w:val="00E563AB"/>
    <w:rsid w:val="00E57DC2"/>
    <w:rsid w:val="00E65C3C"/>
    <w:rsid w:val="00E65C8E"/>
    <w:rsid w:val="00E717BB"/>
    <w:rsid w:val="00E72916"/>
    <w:rsid w:val="00E72FAF"/>
    <w:rsid w:val="00E73BB1"/>
    <w:rsid w:val="00E73E3E"/>
    <w:rsid w:val="00E763FE"/>
    <w:rsid w:val="00E82451"/>
    <w:rsid w:val="00E84321"/>
    <w:rsid w:val="00E87EFD"/>
    <w:rsid w:val="00E9163D"/>
    <w:rsid w:val="00E93647"/>
    <w:rsid w:val="00E93DEB"/>
    <w:rsid w:val="00EA1BF7"/>
    <w:rsid w:val="00EA3172"/>
    <w:rsid w:val="00EA66CC"/>
    <w:rsid w:val="00EA6F67"/>
    <w:rsid w:val="00EB3A86"/>
    <w:rsid w:val="00EB7547"/>
    <w:rsid w:val="00EC02DC"/>
    <w:rsid w:val="00EC4403"/>
    <w:rsid w:val="00EC485A"/>
    <w:rsid w:val="00EC633A"/>
    <w:rsid w:val="00ED00EA"/>
    <w:rsid w:val="00ED0A13"/>
    <w:rsid w:val="00ED1967"/>
    <w:rsid w:val="00ED1D20"/>
    <w:rsid w:val="00ED2DCF"/>
    <w:rsid w:val="00ED507C"/>
    <w:rsid w:val="00ED6759"/>
    <w:rsid w:val="00EE3691"/>
    <w:rsid w:val="00EF043B"/>
    <w:rsid w:val="00EF17D7"/>
    <w:rsid w:val="00EF1DD9"/>
    <w:rsid w:val="00F04861"/>
    <w:rsid w:val="00F1071A"/>
    <w:rsid w:val="00F11318"/>
    <w:rsid w:val="00F12B20"/>
    <w:rsid w:val="00F12BF2"/>
    <w:rsid w:val="00F155FB"/>
    <w:rsid w:val="00F165EB"/>
    <w:rsid w:val="00F227FF"/>
    <w:rsid w:val="00F22F72"/>
    <w:rsid w:val="00F27705"/>
    <w:rsid w:val="00F279AC"/>
    <w:rsid w:val="00F30B40"/>
    <w:rsid w:val="00F37483"/>
    <w:rsid w:val="00F42C53"/>
    <w:rsid w:val="00F42FF1"/>
    <w:rsid w:val="00F439F2"/>
    <w:rsid w:val="00F46183"/>
    <w:rsid w:val="00F5685F"/>
    <w:rsid w:val="00F60934"/>
    <w:rsid w:val="00F62200"/>
    <w:rsid w:val="00F62ECE"/>
    <w:rsid w:val="00F63232"/>
    <w:rsid w:val="00F751E2"/>
    <w:rsid w:val="00F773F8"/>
    <w:rsid w:val="00F821C4"/>
    <w:rsid w:val="00F835C0"/>
    <w:rsid w:val="00F84F19"/>
    <w:rsid w:val="00F87F7A"/>
    <w:rsid w:val="00F92080"/>
    <w:rsid w:val="00F941B8"/>
    <w:rsid w:val="00F955B7"/>
    <w:rsid w:val="00FA0174"/>
    <w:rsid w:val="00FA19CB"/>
    <w:rsid w:val="00FA2917"/>
    <w:rsid w:val="00FA499F"/>
    <w:rsid w:val="00FA5688"/>
    <w:rsid w:val="00FB4661"/>
    <w:rsid w:val="00FB54CF"/>
    <w:rsid w:val="00FB7B71"/>
    <w:rsid w:val="00FC4CA2"/>
    <w:rsid w:val="00FC741B"/>
    <w:rsid w:val="00FD1618"/>
    <w:rsid w:val="00FD2606"/>
    <w:rsid w:val="00FD455F"/>
    <w:rsid w:val="00FD4D33"/>
    <w:rsid w:val="00FD585B"/>
    <w:rsid w:val="00FD60A6"/>
    <w:rsid w:val="00FD60AD"/>
    <w:rsid w:val="00FD71FA"/>
    <w:rsid w:val="00FE48B8"/>
    <w:rsid w:val="00FE6497"/>
    <w:rsid w:val="00FF0856"/>
    <w:rsid w:val="00FF198F"/>
    <w:rsid w:val="00FF271F"/>
    <w:rsid w:val="00FF4486"/>
    <w:rsid w:val="00FF51A9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1401DD"/>
  <w15:docId w15:val="{BC41FD71-6C00-49B0-A3E6-F4222586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6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6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vAnchor="text" w:hAnchor="text" w:y="1"/>
    </w:pPr>
    <w:rPr>
      <w:rFonts w:cstheme="minorHAns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256040"/>
    <w:pPr>
      <w:spacing w:before="0" w:after="0" w:line="240" w:lineRule="auto"/>
    </w:pPr>
    <w:rPr>
      <w:rFonts w:cstheme="minorHAnsi"/>
      <w:noProof/>
      <w:color w:val="8080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5604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1630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3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16BE1"/>
    <w:pPr>
      <w:framePr w:hSpace="142" w:wrap="around" w:vAnchor="text" w:hAnchor="text" w:y="1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B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6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customStyle="1" w:styleId="Absenderzeile">
    <w:name w:val="Absenderzeile"/>
    <w:basedOn w:val="Kopfzeile"/>
    <w:qFormat/>
    <w:rsid w:val="00256040"/>
    <w:pPr>
      <w:framePr w:wrap="around"/>
      <w:spacing w:before="0"/>
    </w:pPr>
  </w:style>
  <w:style w:type="paragraph" w:customStyle="1" w:styleId="Logo">
    <w:name w:val="Logo"/>
    <w:basedOn w:val="Kopfzeile"/>
    <w:qFormat/>
    <w:rsid w:val="00256040"/>
    <w:pPr>
      <w:framePr w:wrap="around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8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98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03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98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71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21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42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80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2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33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756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402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576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h\Klinikverbund%20Hessen%20e.%20V\Klinikverbund%20Hessen%20e.V.%20-%20Dokumente\%23%20Gesch&#228;ftsstelle\Verwaltung\Vorlagen\Briefvorlagen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1" ma:contentTypeDescription="Ein neues Dokument erstellen." ma:contentTypeScope="" ma:versionID="dc6450d544d628d7142d22b62438a4c0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e78e17d9fb5a6e837ee8addf80bc1231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525D5-07F9-4261-85F0-C412832FD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AAB8B-CC76-4B3A-A40B-D1934C5DC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35C16-B017-4775-B217-B35E2EBA4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35e8-a7f0-4e88-b723-fb2e57fc3345"/>
    <ds:schemaRef ds:uri="f2262a54-1e3c-4f45-b177-d88a2ef2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2</Pages>
  <Words>749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des Klinikverbunds Hessen e. V.</vt:lpstr>
    </vt:vector>
  </TitlesOfParts>
  <Company>Klinikverbund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des Klinikverbunds Hessen e. V.</dc:title>
  <dc:creator>Reinhard Schaffert</dc:creator>
  <cp:lastModifiedBy>Reinhard Schaffert</cp:lastModifiedBy>
  <cp:revision>80</cp:revision>
  <cp:lastPrinted>2017-12-07T14:49:00Z</cp:lastPrinted>
  <dcterms:created xsi:type="dcterms:W3CDTF">2022-03-08T08:57:00Z</dcterms:created>
  <dcterms:modified xsi:type="dcterms:W3CDTF">2022-03-08T12:04:00Z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</Properties>
</file>